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8CE" w:rsidRDefault="00C348CE" w:rsidP="00C348CE">
      <w:pPr>
        <w:pStyle w:val="annexe"/>
      </w:pPr>
      <w:r>
        <w:t>Annexe n° 3 : signification des codes des caractéristiques des espèces végétales</w:t>
      </w:r>
    </w:p>
    <w:p w:rsidR="00C348CE" w:rsidRDefault="00C348CE" w:rsidP="00C348CE">
      <w:pPr>
        <w:pStyle w:val="glou4"/>
      </w:pPr>
      <w:r>
        <w:t xml:space="preserve">La nomenclature des espèces est celle de la </w:t>
      </w:r>
      <w:r>
        <w:rPr>
          <w:i/>
        </w:rPr>
        <w:t xml:space="preserve">Flora of West Tropical </w:t>
      </w:r>
      <w:proofErr w:type="spellStart"/>
      <w:r>
        <w:rPr>
          <w:i/>
        </w:rPr>
        <w:t>Africa</w:t>
      </w:r>
      <w:proofErr w:type="spellEnd"/>
      <w:r>
        <w:t xml:space="preserve">: </w:t>
      </w:r>
    </w:p>
    <w:p w:rsidR="00C348CE" w:rsidRPr="00C348CE" w:rsidRDefault="00C348CE" w:rsidP="00C348CE">
      <w:pPr>
        <w:pStyle w:val="Citations"/>
        <w:rPr>
          <w:lang w:val="en-US"/>
        </w:rPr>
      </w:pPr>
      <w:r w:rsidRPr="00C348CE">
        <w:t xml:space="preserve">HUTCHINSON, J. &amp; DALZIEL, J.M. 1954-1972. </w:t>
      </w:r>
      <w:r>
        <w:rPr>
          <w:i/>
          <w:lang w:val="en-GB"/>
        </w:rPr>
        <w:t>Flora of West Tropical Africa. 2nd edition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Keay</w:t>
      </w:r>
      <w:proofErr w:type="spellEnd"/>
      <w:r>
        <w:rPr>
          <w:lang w:val="en-GB"/>
        </w:rPr>
        <w:t xml:space="preserve">, R.W.J. &amp; </w:t>
      </w:r>
      <w:proofErr w:type="spellStart"/>
      <w:r>
        <w:rPr>
          <w:lang w:val="en-GB"/>
        </w:rPr>
        <w:t>Hepper</w:t>
      </w:r>
      <w:proofErr w:type="spellEnd"/>
      <w:r>
        <w:rPr>
          <w:lang w:val="en-GB"/>
        </w:rPr>
        <w:t>, F.N. (</w:t>
      </w:r>
      <w:proofErr w:type="spellStart"/>
      <w:r>
        <w:rPr>
          <w:lang w:val="en-GB"/>
        </w:rPr>
        <w:t>eds</w:t>
      </w:r>
      <w:proofErr w:type="spellEnd"/>
      <w:r>
        <w:rPr>
          <w:lang w:val="en-GB"/>
        </w:rPr>
        <w:t xml:space="preserve">), </w:t>
      </w:r>
      <w:proofErr w:type="spellStart"/>
      <w:r>
        <w:rPr>
          <w:lang w:val="en-GB"/>
        </w:rPr>
        <w:t>vol</w:t>
      </w:r>
      <w:proofErr w:type="spellEnd"/>
      <w:r>
        <w:rPr>
          <w:lang w:val="en-GB"/>
        </w:rPr>
        <w:t xml:space="preserve"> 1-3, Crown Agents for Overseas Government and Administration, London.</w:t>
      </w:r>
    </w:p>
    <w:p w:rsidR="00C348CE" w:rsidRDefault="00C348CE" w:rsidP="00C348CE">
      <w:pPr>
        <w:pStyle w:val="TAB"/>
      </w:pPr>
      <w:r>
        <w:t>Quatre variables sont codées pour chaque taxon:</w:t>
      </w:r>
    </w:p>
    <w:p w:rsidR="00C348CE" w:rsidRDefault="00C348CE" w:rsidP="00C348CE">
      <w:pPr>
        <w:pStyle w:val="PIF3"/>
      </w:pPr>
      <w:r>
        <w:t xml:space="preserve">1. Le type bio-morphologique (champ </w:t>
      </w:r>
      <w:proofErr w:type="spellStart"/>
      <w:r>
        <w:t>bio_morpho</w:t>
      </w:r>
      <w:proofErr w:type="spellEnd"/>
      <w:r>
        <w:t>)</w:t>
      </w:r>
    </w:p>
    <w:tbl>
      <w:tblPr>
        <w:tblW w:w="0" w:type="auto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1134"/>
        <w:gridCol w:w="1841"/>
        <w:gridCol w:w="3829"/>
      </w:tblGrid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Code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Type biologique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Groupe morpho-taxonomique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Herbacée annuelle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Graminacées + </w:t>
            </w:r>
            <w:proofErr w:type="spellStart"/>
            <w:r>
              <w:t>Cyperacées</w:t>
            </w:r>
            <w:proofErr w:type="spellEnd"/>
            <w:r>
              <w:t xml:space="preserve"> (=</w:t>
            </w:r>
            <w:proofErr w:type="spellStart"/>
            <w:r>
              <w:t>graminoides</w:t>
            </w:r>
            <w:proofErr w:type="spellEnd"/>
            <w:r>
              <w:t>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2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Monocotylédones non </w:t>
            </w:r>
            <w:proofErr w:type="spellStart"/>
            <w:r>
              <w:t>graminoides</w:t>
            </w:r>
            <w:proofErr w:type="spellEnd"/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3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Légumineuses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4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Dicotylédones non légumineuses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5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Herbacée vivace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Graminacées + </w:t>
            </w:r>
            <w:proofErr w:type="spellStart"/>
            <w:r>
              <w:t>Cyperacées</w:t>
            </w:r>
            <w:proofErr w:type="spellEnd"/>
            <w:r>
              <w:t xml:space="preserve"> (=</w:t>
            </w:r>
            <w:proofErr w:type="spellStart"/>
            <w:r>
              <w:t>graminoides</w:t>
            </w:r>
            <w:proofErr w:type="spellEnd"/>
            <w:r>
              <w:t>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6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Monocotylédones non </w:t>
            </w:r>
            <w:proofErr w:type="spellStart"/>
            <w:r>
              <w:t>graminoides</w:t>
            </w:r>
            <w:proofErr w:type="spellEnd"/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7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Légumineuses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8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Dicotylédones non légumineuses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9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Plante ligneuse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Légumineuses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0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“            ”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Non légumineuses</w:t>
            </w:r>
          </w:p>
        </w:tc>
      </w:tr>
    </w:tbl>
    <w:p w:rsidR="00C348CE" w:rsidRDefault="00C348CE" w:rsidP="00C348CE">
      <w:pPr>
        <w:pStyle w:val="glou4"/>
      </w:pPr>
    </w:p>
    <w:p w:rsidR="00C348CE" w:rsidRDefault="00C348CE" w:rsidP="00C348CE">
      <w:pPr>
        <w:pStyle w:val="PIF3"/>
      </w:pPr>
      <w:r>
        <w:t xml:space="preserve">2. Le type édaphique (champ </w:t>
      </w:r>
      <w:proofErr w:type="spellStart"/>
      <w:r>
        <w:t>edaph</w:t>
      </w:r>
      <w:proofErr w:type="spellEnd"/>
      <w:r>
        <w:t>)</w:t>
      </w:r>
    </w:p>
    <w:tbl>
      <w:tblPr>
        <w:tblW w:w="0" w:type="auto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1134"/>
        <w:gridCol w:w="2268"/>
        <w:gridCol w:w="3402"/>
      </w:tblGrid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Code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Types de plantes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Types de sols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Plantes parasites + épiphytes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Xérophylles</w:t>
            </w:r>
            <w:proofErr w:type="spellEnd"/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argileux, limoneux ou rocheux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  “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sableux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Héliophylles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bien drainés, frais 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Sciaphylles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bien drainés, frais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Héliophylles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engorgés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Sciaphylles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engorgés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Plantes en submersion temporaire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submergés saisonnièrement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Plantes aquatiques enracinées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submergés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Plantes aquatiques flottantes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submergés</w:t>
            </w:r>
          </w:p>
        </w:tc>
      </w:tr>
    </w:tbl>
    <w:p w:rsidR="00C348CE" w:rsidRDefault="00C348CE" w:rsidP="00C348CE">
      <w:pPr>
        <w:pStyle w:val="glou4"/>
      </w:pPr>
    </w:p>
    <w:p w:rsidR="00C348CE" w:rsidRDefault="00C348CE" w:rsidP="00C348CE">
      <w:pPr>
        <w:pStyle w:val="PIF3"/>
      </w:pPr>
      <w:r>
        <w:lastRenderedPageBreak/>
        <w:t>3. Le type biologique et la longueur du cycle (champ cycle)</w:t>
      </w:r>
    </w:p>
    <w:tbl>
      <w:tblPr>
        <w:tblW w:w="0" w:type="auto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1134"/>
        <w:gridCol w:w="2268"/>
        <w:gridCol w:w="2835"/>
      </w:tblGrid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Code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Type biologique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Longueur du cycle de développement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Phanérophytes</w:t>
            </w:r>
            <w:proofErr w:type="spellEnd"/>
            <w:r>
              <w:t xml:space="preserve"> ligneux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Hémicryptophytes</w:t>
            </w:r>
            <w:proofErr w:type="spellEnd"/>
            <w:r>
              <w:t xml:space="preserve"> (pérennes)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long: supérieur à 90 j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moyen: entre 45 et 90j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court: moins de 45j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Géophytes (pérennes)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long: supérieur à 90 j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moyen: entre 45 et 90j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court: moins de 45j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Thérophytes</w:t>
            </w:r>
            <w:proofErr w:type="spellEnd"/>
            <w:r>
              <w:t xml:space="preserve"> (annuelles)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long: supérieur à 90 j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moyen: entre 45 et 90j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trHeight w:val="300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       “                     ”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>court: moins de 45j</w:t>
            </w:r>
          </w:p>
        </w:tc>
      </w:tr>
    </w:tbl>
    <w:p w:rsidR="00C348CE" w:rsidRDefault="00C348CE" w:rsidP="00C348CE">
      <w:pPr>
        <w:pStyle w:val="glou4"/>
      </w:pPr>
    </w:p>
    <w:p w:rsidR="00C348CE" w:rsidRDefault="00C348CE" w:rsidP="00C348CE">
      <w:pPr>
        <w:pStyle w:val="PIF3"/>
      </w:pPr>
      <w:r>
        <w:t xml:space="preserve">4. Le statut pastoral (champ </w:t>
      </w:r>
      <w:proofErr w:type="spellStart"/>
      <w:r>
        <w:t>past</w:t>
      </w:r>
      <w:proofErr w:type="spellEnd"/>
      <w:r>
        <w:t>)</w:t>
      </w: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/>
      </w:tblPr>
      <w:tblGrid>
        <w:gridCol w:w="1134"/>
        <w:gridCol w:w="2268"/>
        <w:gridCol w:w="3402"/>
      </w:tblGrid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  <w:jc w:val="center"/>
            </w:pPr>
            <w:r>
              <w:t>Code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Appêtibilité</w:t>
            </w:r>
            <w:proofErr w:type="spellEnd"/>
            <w:r>
              <w:t xml:space="preserve"> pour les ruminants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Dispersion des semences 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refusées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“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non </w:t>
            </w: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indifférentes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 “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non </w:t>
            </w: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généralement </w:t>
            </w:r>
            <w:proofErr w:type="spellStart"/>
            <w:r>
              <w:t>appêtées</w:t>
            </w:r>
            <w:proofErr w:type="spell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“                  ”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non </w:t>
            </w: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très </w:t>
            </w:r>
            <w:proofErr w:type="spellStart"/>
            <w:r>
              <w:t>appêtées</w:t>
            </w:r>
            <w:proofErr w:type="spellEnd"/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  <w:tr w:rsidR="00C348CE" w:rsidTr="0099506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348CE" w:rsidRDefault="00C348CE" w:rsidP="00995060">
            <w:pPr>
              <w:pStyle w:val="tableau"/>
              <w:jc w:val="center"/>
            </w:pPr>
            <w: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       “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48CE" w:rsidRDefault="00C348CE" w:rsidP="00995060">
            <w:pPr>
              <w:pStyle w:val="tableau"/>
            </w:pPr>
            <w:r>
              <w:t xml:space="preserve">non </w:t>
            </w:r>
            <w:proofErr w:type="spellStart"/>
            <w:r>
              <w:t>zoochores</w:t>
            </w:r>
            <w:proofErr w:type="spellEnd"/>
            <w:r>
              <w:t xml:space="preserve"> (ruminants)</w:t>
            </w:r>
          </w:p>
        </w:tc>
      </w:tr>
    </w:tbl>
    <w:p w:rsidR="00723C22" w:rsidRDefault="00723C22"/>
    <w:sectPr w:rsidR="00723C22" w:rsidSect="00723C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48CE"/>
    <w:rsid w:val="00723C22"/>
    <w:rsid w:val="00C34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8CE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">
    <w:name w:val="TAB"/>
    <w:basedOn w:val="glou4"/>
    <w:autoRedefine/>
    <w:rsid w:val="00C348CE"/>
    <w:pPr>
      <w:keepNext/>
      <w:keepLines/>
    </w:pPr>
  </w:style>
  <w:style w:type="paragraph" w:customStyle="1" w:styleId="PIF3">
    <w:name w:val="PIF3"/>
    <w:basedOn w:val="Normal"/>
    <w:autoRedefine/>
    <w:rsid w:val="00C348CE"/>
    <w:pPr>
      <w:keepNext/>
      <w:spacing w:before="120" w:after="120"/>
      <w:ind w:left="567"/>
    </w:pPr>
    <w:rPr>
      <w:rFonts w:ascii="Arial" w:hAnsi="Arial"/>
      <w:b/>
    </w:rPr>
  </w:style>
  <w:style w:type="paragraph" w:customStyle="1" w:styleId="tableau">
    <w:name w:val="tableau"/>
    <w:basedOn w:val="Normal"/>
    <w:rsid w:val="00C348CE"/>
    <w:pPr>
      <w:keepNext/>
      <w:keepLines/>
      <w:jc w:val="both"/>
    </w:pPr>
    <w:rPr>
      <w:rFonts w:ascii="Arial" w:hAnsi="Arial"/>
      <w:snapToGrid w:val="0"/>
    </w:rPr>
  </w:style>
  <w:style w:type="paragraph" w:customStyle="1" w:styleId="glou4">
    <w:name w:val="glou4"/>
    <w:basedOn w:val="Normal"/>
    <w:autoRedefine/>
    <w:rsid w:val="00C348CE"/>
    <w:pPr>
      <w:spacing w:line="360" w:lineRule="auto"/>
      <w:ind w:left="567"/>
      <w:jc w:val="both"/>
    </w:pPr>
    <w:rPr>
      <w:rFonts w:ascii="Arial" w:hAnsi="Arial"/>
    </w:rPr>
  </w:style>
  <w:style w:type="paragraph" w:customStyle="1" w:styleId="Citations">
    <w:name w:val="Citations"/>
    <w:basedOn w:val="glou4"/>
    <w:autoRedefine/>
    <w:rsid w:val="00C348CE"/>
    <w:pPr>
      <w:tabs>
        <w:tab w:val="left" w:pos="851"/>
      </w:tabs>
      <w:spacing w:before="120" w:after="120" w:line="240" w:lineRule="auto"/>
      <w:ind w:left="851"/>
    </w:pPr>
  </w:style>
  <w:style w:type="paragraph" w:customStyle="1" w:styleId="annexe">
    <w:name w:val="annexe"/>
    <w:basedOn w:val="Normal"/>
    <w:rsid w:val="00C348CE"/>
    <w:pPr>
      <w:keepNext/>
      <w:spacing w:before="120" w:after="120" w:line="360" w:lineRule="auto"/>
      <w:jc w:val="center"/>
      <w:outlineLvl w:val="0"/>
    </w:pPr>
    <w:rPr>
      <w:rFonts w:ascii="Arial" w:hAnsi="Arial"/>
      <w:b/>
      <w:caps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2020-02-21T15:30:00Z</dcterms:created>
  <dcterms:modified xsi:type="dcterms:W3CDTF">2020-02-21T15:31:00Z</dcterms:modified>
</cp:coreProperties>
</file>